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A202E" w:rsidP="005D0621">
            <w:pPr>
              <w:rPr>
                <w:b/>
              </w:rPr>
            </w:pPr>
            <w:r>
              <w:rPr>
                <w:rStyle w:val="Firstpagetablebold"/>
              </w:rPr>
              <w:t>Monday 16</w:t>
            </w:r>
            <w:r w:rsidRPr="009A202E">
              <w:rPr>
                <w:rStyle w:val="Firstpagetablebold"/>
                <w:vertAlign w:val="superscript"/>
              </w:rPr>
              <w:t>th</w:t>
            </w:r>
            <w:r>
              <w:rPr>
                <w:rStyle w:val="Firstpagetablebold"/>
              </w:rPr>
              <w:t xml:space="preserve"> October 2017</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4355D" w:rsidP="0014355D">
            <w:pPr>
              <w:rPr>
                <w:rStyle w:val="Firstpagetablebold"/>
              </w:rPr>
            </w:pPr>
            <w:r>
              <w:rPr>
                <w:rStyle w:val="Firstpagetablebold"/>
              </w:rPr>
              <w:t xml:space="preserve">Patsy Dell, </w:t>
            </w:r>
            <w:r w:rsidR="009A202E">
              <w:rPr>
                <w:rStyle w:val="Firstpagetablebold"/>
              </w:rPr>
              <w:t>Head of Planning</w:t>
            </w:r>
            <w:r w:rsidRPr="0014355D">
              <w:rPr>
                <w:rStyle w:val="Firstpagetablebold"/>
                <w:color w:val="auto"/>
              </w:rPr>
              <w:t xml:space="preserve">, </w:t>
            </w:r>
            <w:r w:rsidR="00A0167F" w:rsidRPr="0014355D">
              <w:rPr>
                <w:rStyle w:val="Firstpagetablebold"/>
                <w:color w:val="auto"/>
              </w:rPr>
              <w:t xml:space="preserve">Sustainable Development </w:t>
            </w:r>
            <w:r w:rsidR="009A202E">
              <w:rPr>
                <w:rStyle w:val="Firstpagetablebold"/>
              </w:rPr>
              <w:t>and Regulatory 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A202E" w:rsidP="004A6D2F">
            <w:pPr>
              <w:rPr>
                <w:rStyle w:val="Firstpagetablebold"/>
              </w:rPr>
            </w:pPr>
            <w:r>
              <w:rPr>
                <w:rStyle w:val="Firstpagetablebold"/>
              </w:rPr>
              <w:t>North Oxford Vict</w:t>
            </w:r>
            <w:r w:rsidR="007C59C4">
              <w:rPr>
                <w:rStyle w:val="Firstpagetablebold"/>
              </w:rPr>
              <w:t>orian Suburb Conservation Area a</w:t>
            </w:r>
            <w:r>
              <w:rPr>
                <w:rStyle w:val="Firstpagetablebold"/>
              </w:rPr>
              <w:t>ppraisal</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A202E" w:rsidP="00E0023B">
            <w:r w:rsidRPr="004F597E">
              <w:t xml:space="preserve">To present the conservation area appraisal </w:t>
            </w:r>
            <w:r w:rsidR="00E0023B" w:rsidRPr="004F597E">
              <w:t>for North Oxford Victorian Suburb to Board</w:t>
            </w:r>
            <w:r w:rsidR="00E14B07">
              <w:t xml:space="preserve"> for approval</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454C20" w:rsidP="005F7F7E">
            <w:r>
              <w:t>No</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A202E">
            <w:r w:rsidRPr="001356F1">
              <w:t xml:space="preserve">Councillor </w:t>
            </w:r>
            <w:r w:rsidR="009A202E">
              <w:t>Alex Hollingsworth, Board Member for Planning and Regulatory Services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C59C4" w:rsidRDefault="007C59C4" w:rsidP="007C59C4">
            <w:r>
              <w:t xml:space="preserve">A </w:t>
            </w:r>
            <w:r w:rsidR="006D09B1">
              <w:t>vibrant and sustainable economy</w:t>
            </w:r>
          </w:p>
          <w:p w:rsidR="007C59C4" w:rsidRDefault="006D09B1" w:rsidP="007C59C4">
            <w:r>
              <w:t>Meeting housing needs</w:t>
            </w:r>
          </w:p>
          <w:p w:rsidR="0080749A" w:rsidRPr="001356F1" w:rsidRDefault="007C59C4" w:rsidP="007C59C4">
            <w:r>
              <w:t>Strong and active communities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Default="009A202E" w:rsidP="005F7F7E">
            <w:r>
              <w:t>NPPF Section 12</w:t>
            </w:r>
          </w:p>
          <w:p w:rsidR="009A202E" w:rsidRDefault="009A202E" w:rsidP="005F7F7E">
            <w:r>
              <w:t>Oxford Local Plan 2001-2016</w:t>
            </w:r>
          </w:p>
          <w:p w:rsidR="009A202E" w:rsidRPr="001356F1" w:rsidRDefault="009A202E" w:rsidP="005F7F7E">
            <w:r>
              <w:t>Core Strategy 2006-2026</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E0023B" w:rsidP="009A202E">
            <w:r>
              <w:rPr>
                <w:rStyle w:val="Firstpagetablebold"/>
              </w:rPr>
              <w:t xml:space="preserve">Approve </w:t>
            </w:r>
            <w:r w:rsidRPr="00E0023B">
              <w:rPr>
                <w:rStyle w:val="Firstpagetablebold"/>
                <w:b w:val="0"/>
              </w:rPr>
              <w:t xml:space="preserve">the North Oxford Victorian Suburb Conservation Area appraisal (appended to this report) and endorse it for use in informing development management </w:t>
            </w:r>
            <w:r w:rsidR="006D09B1">
              <w:rPr>
                <w:rStyle w:val="Firstpagetablebold"/>
                <w:b w:val="0"/>
              </w:rPr>
              <w:t xml:space="preserve">and planning policy </w:t>
            </w:r>
            <w:r w:rsidRPr="00E0023B">
              <w:rPr>
                <w:rStyle w:val="Firstpagetablebold"/>
                <w:b w:val="0"/>
              </w:rPr>
              <w:t>decisions</w:t>
            </w:r>
          </w:p>
        </w:tc>
      </w:tr>
      <w:tr w:rsidR="0030208D" w:rsidRPr="00975B07" w:rsidTr="009A202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E0023B" w:rsidP="009A202E">
            <w:r>
              <w:rPr>
                <w:rStyle w:val="Firstpagetablebold"/>
              </w:rPr>
              <w:t xml:space="preserve">Endorse </w:t>
            </w:r>
            <w:r w:rsidRPr="00E0023B">
              <w:rPr>
                <w:rStyle w:val="Firstpagetablebold"/>
                <w:b w:val="0"/>
              </w:rPr>
              <w:t>the conservation principles it promotes and its key conclusions</w:t>
            </w:r>
          </w:p>
        </w:tc>
      </w:tr>
    </w:tbl>
    <w:p w:rsidR="00CE544A" w:rsidRDefault="00CE544A" w:rsidP="004A6D2F"/>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9A202E">
        <w:tc>
          <w:tcPr>
            <w:tcW w:w="8844" w:type="dxa"/>
            <w:gridSpan w:val="2"/>
            <w:shd w:val="clear" w:color="auto" w:fill="auto"/>
          </w:tcPr>
          <w:p w:rsidR="00966D42" w:rsidRPr="00975B07" w:rsidRDefault="00E7162F" w:rsidP="00263EA3">
            <w:pPr>
              <w:jc w:val="center"/>
            </w:pPr>
            <w:r>
              <w:rPr>
                <w:rStyle w:val="Firstpagetablebold"/>
              </w:rPr>
              <w:t>A</w:t>
            </w:r>
            <w:r w:rsidR="00966D42" w:rsidRPr="00745BF0">
              <w:rPr>
                <w:rStyle w:val="Firstpagetablebold"/>
              </w:rPr>
              <w:t>ppendices</w:t>
            </w:r>
          </w:p>
        </w:tc>
      </w:tr>
      <w:tr w:rsidR="00ED5860" w:rsidRPr="00975B07" w:rsidTr="009A202E">
        <w:tc>
          <w:tcPr>
            <w:tcW w:w="2438" w:type="dxa"/>
            <w:shd w:val="clear" w:color="auto" w:fill="auto"/>
          </w:tcPr>
          <w:p w:rsidR="00ED5860" w:rsidRDefault="00ED5860" w:rsidP="004A6D2F">
            <w:r w:rsidRPr="00975B07">
              <w:t>Appendix 1</w:t>
            </w:r>
          </w:p>
          <w:p w:rsidR="00D056AB" w:rsidRDefault="00D056AB" w:rsidP="004A6D2F"/>
          <w:p w:rsidR="00775217" w:rsidRDefault="00D056AB" w:rsidP="00775217">
            <w:r>
              <w:t>Appendix 2</w:t>
            </w:r>
          </w:p>
          <w:p w:rsidR="00775217" w:rsidRDefault="00775217" w:rsidP="00775217"/>
          <w:p w:rsidR="00775217" w:rsidRDefault="00701D27" w:rsidP="00775217">
            <w:r>
              <w:t>A</w:t>
            </w:r>
            <w:r w:rsidR="00775217">
              <w:t xml:space="preserve">ppendix 3 </w:t>
            </w:r>
          </w:p>
          <w:p w:rsidR="009D0C6E" w:rsidRPr="00975B07" w:rsidRDefault="009D0C6E" w:rsidP="00775217">
            <w:r>
              <w:t>Appendix 4</w:t>
            </w:r>
            <w:r w:rsidR="00E7162F">
              <w:t xml:space="preserve">   </w:t>
            </w:r>
          </w:p>
        </w:tc>
        <w:tc>
          <w:tcPr>
            <w:tcW w:w="6406" w:type="dxa"/>
          </w:tcPr>
          <w:p w:rsidR="00CC4B57" w:rsidRDefault="009A202E" w:rsidP="004A6D2F">
            <w:r>
              <w:t>North Oxford Victorian Suburb Conservation Area Apprai</w:t>
            </w:r>
            <w:r w:rsidR="00CC4B57">
              <w:t>sal</w:t>
            </w:r>
          </w:p>
          <w:p w:rsidR="00775217" w:rsidRPr="00775217" w:rsidRDefault="00215D60" w:rsidP="004A6D2F">
            <w:pPr>
              <w:rPr>
                <w:sz w:val="10"/>
              </w:rPr>
            </w:pPr>
            <w:r w:rsidRPr="00215D60">
              <w:rPr>
                <w:color w:val="auto"/>
              </w:rPr>
              <w:t xml:space="preserve">North Oxford Victorian Suburb </w:t>
            </w:r>
            <w:r w:rsidR="006D09B1">
              <w:rPr>
                <w:color w:val="auto"/>
              </w:rPr>
              <w:t>Conservation Area a</w:t>
            </w:r>
            <w:r w:rsidRPr="00215D60">
              <w:rPr>
                <w:color w:val="auto"/>
              </w:rPr>
              <w:t>ppraisal</w:t>
            </w:r>
            <w:r w:rsidR="00C66F62">
              <w:rPr>
                <w:color w:val="auto"/>
              </w:rPr>
              <w:t xml:space="preserve">: </w:t>
            </w:r>
            <w:r w:rsidR="006D09B1">
              <w:rPr>
                <w:color w:val="auto"/>
              </w:rPr>
              <w:t>s</w:t>
            </w:r>
            <w:r w:rsidR="00CA332E">
              <w:rPr>
                <w:color w:val="auto"/>
              </w:rPr>
              <w:t>ummary and response to the c</w:t>
            </w:r>
            <w:r w:rsidRPr="00215D60">
              <w:rPr>
                <w:color w:val="auto"/>
              </w:rPr>
              <w:t xml:space="preserve">onsultation </w:t>
            </w:r>
            <w:r w:rsidR="006D09B1">
              <w:rPr>
                <w:color w:val="auto"/>
              </w:rPr>
              <w:t>f</w:t>
            </w:r>
            <w:r w:rsidR="00C66F62">
              <w:rPr>
                <w:color w:val="auto"/>
              </w:rPr>
              <w:t>eedback</w:t>
            </w:r>
            <w:r w:rsidRPr="00215D60">
              <w:rPr>
                <w:color w:val="auto"/>
              </w:rPr>
              <w:t xml:space="preserve"> </w:t>
            </w:r>
          </w:p>
          <w:p w:rsidR="00775217" w:rsidRDefault="006D09B1" w:rsidP="004A6D2F">
            <w:r>
              <w:t>Boundary Map</w:t>
            </w:r>
          </w:p>
          <w:p w:rsidR="009D0C6E" w:rsidRDefault="00E7162F" w:rsidP="004A6D2F">
            <w:r>
              <w:t>Ri</w:t>
            </w:r>
            <w:r w:rsidR="006D09B1">
              <w:t>sk Register</w:t>
            </w:r>
          </w:p>
          <w:p w:rsidR="00CC4B57" w:rsidRPr="001356F1" w:rsidRDefault="00CC4B57" w:rsidP="006D09B1"/>
        </w:tc>
      </w:tr>
    </w:tbl>
    <w:p w:rsidR="00CC4B57" w:rsidRDefault="00F66DCA" w:rsidP="00215D60">
      <w:pPr>
        <w:pStyle w:val="Heading1"/>
      </w:pPr>
      <w:r w:rsidRPr="001356F1">
        <w:lastRenderedPageBreak/>
        <w:t>Introduction and b</w:t>
      </w:r>
      <w:r w:rsidR="00151888" w:rsidRPr="001356F1">
        <w:t>ackground</w:t>
      </w:r>
      <w:r w:rsidR="00404032" w:rsidRPr="001356F1">
        <w:t xml:space="preserve"> </w:t>
      </w:r>
    </w:p>
    <w:p w:rsidR="009A202E" w:rsidRDefault="009A202E" w:rsidP="009A202E">
      <w:pPr>
        <w:pStyle w:val="bParagraphtext"/>
      </w:pPr>
      <w:r>
        <w:t>The Planning (Listed Buildings and Conservation Areas) Act 1990 states that areas of special architectural or historic interest,</w:t>
      </w:r>
      <w:r w:rsidR="00D14390">
        <w:t xml:space="preserve"> within which it is desirable to preserve the character or appearance of the area,</w:t>
      </w:r>
      <w:r w:rsidR="00EC3084">
        <w:t xml:space="preserve"> </w:t>
      </w:r>
      <w:r>
        <w:t>should be de</w:t>
      </w:r>
      <w:r w:rsidR="00EC3084">
        <w:t>signated as conservation areas.</w:t>
      </w:r>
    </w:p>
    <w:p w:rsidR="00CA332E" w:rsidRDefault="00EC3084" w:rsidP="00CA332E">
      <w:pPr>
        <w:pStyle w:val="ListParagraph"/>
      </w:pPr>
      <w:r>
        <w:t xml:space="preserve">The </w:t>
      </w:r>
      <w:r w:rsidR="00CA332E" w:rsidRPr="00CA332E">
        <w:t>North Oxford Victorian Suburb was designated as a Conservation Area between 1968 and 1976. This designation reflects the unique character of the area and its significant archite</w:t>
      </w:r>
      <w:r>
        <w:t>ctural and historical interest.</w:t>
      </w:r>
      <w:r w:rsidR="0028099F">
        <w:t xml:space="preserve">  A plan showing the boundary of the conservation area is attached at Appendix 3.</w:t>
      </w:r>
    </w:p>
    <w:p w:rsidR="00EC3084" w:rsidRPr="00CA332E" w:rsidRDefault="00EC3084" w:rsidP="00EC3084">
      <w:pPr>
        <w:pStyle w:val="ListParagraph"/>
      </w:pPr>
      <w:r>
        <w:t xml:space="preserve">Guidance from the Department of Culture, Media and Sport (DCMS) and Historic England recommend that designated conservation areas </w:t>
      </w:r>
      <w:r w:rsidRPr="00215D60">
        <w:rPr>
          <w:color w:val="auto"/>
        </w:rPr>
        <w:t xml:space="preserve">should undergo </w:t>
      </w:r>
      <w:r>
        <w:t>a formal character appraisal to justify their original designation, to define their significance and values, and to inform decisions regarding future change.</w:t>
      </w:r>
    </w:p>
    <w:p w:rsidR="005E7407" w:rsidRDefault="005E7407" w:rsidP="009A202E">
      <w:pPr>
        <w:pStyle w:val="bParagraphtext"/>
      </w:pPr>
      <w:r>
        <w:t xml:space="preserve">A draft conservation area appraisal was </w:t>
      </w:r>
      <w:r w:rsidR="00CA332E">
        <w:t>considered by</w:t>
      </w:r>
      <w:r>
        <w:t xml:space="preserve"> CEB in February 2017. This draft was endorsed by CEB as the basis for public consultation. </w:t>
      </w:r>
      <w:r w:rsidR="00B96117">
        <w:t>The formal consultation ended on the 28</w:t>
      </w:r>
      <w:r w:rsidR="00B96117" w:rsidRPr="00B96117">
        <w:rPr>
          <w:vertAlign w:val="superscript"/>
        </w:rPr>
        <w:t>th</w:t>
      </w:r>
      <w:r w:rsidR="00B96117">
        <w:t xml:space="preserve"> April 2017.  </w:t>
      </w:r>
      <w:r>
        <w:t xml:space="preserve">The </w:t>
      </w:r>
      <w:r w:rsidR="00090A36">
        <w:t xml:space="preserve">conservation area </w:t>
      </w:r>
      <w:r>
        <w:t xml:space="preserve">appraisal has been revised in light of </w:t>
      </w:r>
      <w:r w:rsidR="00090A36">
        <w:t>the comments received during that</w:t>
      </w:r>
      <w:r w:rsidR="00821ECE">
        <w:t xml:space="preserve"> consultation.</w:t>
      </w:r>
    </w:p>
    <w:p w:rsidR="00356FB0" w:rsidRPr="00356FB0" w:rsidRDefault="005C025F" w:rsidP="00356FB0">
      <w:pPr>
        <w:pStyle w:val="ListParagraph"/>
        <w:rPr>
          <w:b/>
        </w:rPr>
      </w:pPr>
      <w:r>
        <w:t>Disappointingly t</w:t>
      </w:r>
      <w:r w:rsidR="00821ECE">
        <w:t xml:space="preserve">he City Council has </w:t>
      </w:r>
      <w:r>
        <w:t xml:space="preserve">had to </w:t>
      </w:r>
      <w:proofErr w:type="gramStart"/>
      <w:r>
        <w:t xml:space="preserve">commission </w:t>
      </w:r>
      <w:r w:rsidR="00821ECE">
        <w:t xml:space="preserve"> two</w:t>
      </w:r>
      <w:proofErr w:type="gramEnd"/>
      <w:r w:rsidR="00821ECE">
        <w:t xml:space="preserve"> </w:t>
      </w:r>
      <w:r>
        <w:t xml:space="preserve">sets of </w:t>
      </w:r>
      <w:r w:rsidR="00821ECE">
        <w:t xml:space="preserve">consultants to </w:t>
      </w:r>
      <w:r>
        <w:t xml:space="preserve">produce </w:t>
      </w:r>
      <w:r w:rsidR="00821ECE">
        <w:t xml:space="preserve"> this conservation area app</w:t>
      </w:r>
      <w:r w:rsidR="00B96117">
        <w:t>raisal</w:t>
      </w:r>
      <w:r>
        <w:t xml:space="preserve"> which has unfortunately impacted upon the overall time it has taken to complete the piece of work. Notwithstanding that, the work is now close to completion and ready to move to adoption, subject to Member approval. </w:t>
      </w:r>
    </w:p>
    <w:p w:rsidR="005E7407" w:rsidRPr="005C025F" w:rsidRDefault="005E7407" w:rsidP="00356FB0">
      <w:pPr>
        <w:pStyle w:val="ListParagraph"/>
        <w:numPr>
          <w:ilvl w:val="0"/>
          <w:numId w:val="0"/>
        </w:numPr>
        <w:ind w:left="360"/>
        <w:rPr>
          <w:b/>
        </w:rPr>
      </w:pPr>
      <w:r w:rsidRPr="005C025F">
        <w:rPr>
          <w:b/>
        </w:rPr>
        <w:t>Character Appraisal</w:t>
      </w:r>
    </w:p>
    <w:p w:rsidR="00215D60" w:rsidRPr="001356F1" w:rsidRDefault="00215D60" w:rsidP="00215D60">
      <w:pPr>
        <w:pStyle w:val="ListParagraph"/>
        <w:rPr>
          <w:rStyle w:val="ListParagraphChar"/>
        </w:rPr>
      </w:pPr>
      <w:r w:rsidRPr="006E56D4">
        <w:t>North Oxford Victorian Suburb Conservation Area is a substantial</w:t>
      </w:r>
      <w:r>
        <w:t>,</w:t>
      </w:r>
      <w:r w:rsidR="00CA332E">
        <w:t xml:space="preserve"> mainly</w:t>
      </w:r>
      <w:r w:rsidRPr="006E56D4">
        <w:t xml:space="preserve"> residential area lying to the north of the historic core of Oxford. </w:t>
      </w:r>
      <w:r w:rsidR="00BD4CE3">
        <w:t xml:space="preserve"> </w:t>
      </w:r>
      <w:r w:rsidRPr="006E56D4">
        <w:t>The interest of the area lies in its containment and consistency.  The land ownership from the 16</w:t>
      </w:r>
      <w:r w:rsidRPr="006E56D4">
        <w:rPr>
          <w:vertAlign w:val="superscript"/>
        </w:rPr>
        <w:t>th</w:t>
      </w:r>
      <w:r w:rsidRPr="006E56D4">
        <w:t xml:space="preserve"> century into the 20</w:t>
      </w:r>
      <w:r w:rsidRPr="006E56D4">
        <w:rPr>
          <w:vertAlign w:val="superscript"/>
        </w:rPr>
        <w:t>th</w:t>
      </w:r>
      <w:r w:rsidRPr="006E56D4">
        <w:t xml:space="preserve"> century, and the topography, enabled the area to be laid out as a planned suburb. </w:t>
      </w:r>
      <w:r w:rsidR="00BD4CE3">
        <w:t xml:space="preserve"> </w:t>
      </w:r>
      <w:r w:rsidRPr="006E56D4">
        <w:t>A small number of architects were responsible for most of the buildings in the area</w:t>
      </w:r>
      <w:r w:rsidR="00CA332E">
        <w:t xml:space="preserve"> which </w:t>
      </w:r>
      <w:r w:rsidR="006673F5">
        <w:t xml:space="preserve">has </w:t>
      </w:r>
      <w:r w:rsidR="00CA332E">
        <w:t>resulted in the area having</w:t>
      </w:r>
      <w:r w:rsidRPr="006E56D4">
        <w:t xml:space="preserve"> distinctive qualities</w:t>
      </w:r>
      <w:r w:rsidR="00CA332E">
        <w:t xml:space="preserve"> such as</w:t>
      </w:r>
      <w:r w:rsidRPr="006E56D4">
        <w:t xml:space="preserve"> large gardens, wide streets and </w:t>
      </w:r>
      <w:r w:rsidR="00CA332E">
        <w:t>substantial vegetation</w:t>
      </w:r>
      <w:r w:rsidRPr="006E56D4">
        <w:t>.</w:t>
      </w:r>
    </w:p>
    <w:p w:rsidR="009A202E" w:rsidRDefault="009A202E" w:rsidP="009A202E">
      <w:pPr>
        <w:pStyle w:val="bParagraphtext"/>
      </w:pPr>
      <w:r>
        <w:t>The appraisal (attached to this report as Appendix 1) define</w:t>
      </w:r>
      <w:r w:rsidR="00CA332E">
        <w:t>s</w:t>
      </w:r>
      <w:r>
        <w:t xml:space="preserve"> the elements that contribute to the special character of North Oxford Victorian Suburb Conservation Area</w:t>
      </w:r>
      <w:r w:rsidR="006673F5">
        <w:t xml:space="preserve"> and</w:t>
      </w:r>
      <w:r>
        <w:t xml:space="preserve"> highlight</w:t>
      </w:r>
      <w:r w:rsidR="006673F5">
        <w:t>s</w:t>
      </w:r>
      <w:r>
        <w:t xml:space="preserve"> the areas of significance and associated vulnerabilities together with brief potential enhancement opportunities.</w:t>
      </w:r>
      <w:r w:rsidR="006673F5">
        <w:t xml:space="preserve"> </w:t>
      </w:r>
      <w:r w:rsidR="00BD4CE3">
        <w:t xml:space="preserve"> </w:t>
      </w:r>
      <w:r w:rsidR="006673F5">
        <w:t xml:space="preserve">The fieldwork which helped form the appraisal was undertaken using </w:t>
      </w:r>
      <w:r w:rsidR="00BD62B1">
        <w:t>our</w:t>
      </w:r>
      <w:r w:rsidR="006673F5">
        <w:t xml:space="preserve"> Character Assessment Toolkit.</w:t>
      </w:r>
    </w:p>
    <w:p w:rsidR="00E87F7A" w:rsidRPr="001356F1" w:rsidRDefault="00E411F3" w:rsidP="00E87F7A">
      <w:pPr>
        <w:spacing w:before="240"/>
        <w:outlineLvl w:val="0"/>
        <w:rPr>
          <w:b/>
        </w:rPr>
      </w:pPr>
      <w:r>
        <w:rPr>
          <w:b/>
        </w:rPr>
        <w:t xml:space="preserve">Consultation </w:t>
      </w:r>
    </w:p>
    <w:p w:rsidR="004F597E" w:rsidRDefault="00E411F3" w:rsidP="00E411F3">
      <w:pPr>
        <w:pStyle w:val="ListParagraph"/>
      </w:pPr>
      <w:r>
        <w:t xml:space="preserve">Preparation of the </w:t>
      </w:r>
      <w:r w:rsidR="00CA332E">
        <w:t xml:space="preserve">consultation </w:t>
      </w:r>
      <w:r>
        <w:t>draft North Oxford Victorian Suburb Conservation Area Appraisal involved engagement with residents’ associations</w:t>
      </w:r>
      <w:r w:rsidR="00D14390">
        <w:t>, members of the public, ward councillors and local institutions</w:t>
      </w:r>
      <w:r>
        <w:t>.</w:t>
      </w:r>
    </w:p>
    <w:p w:rsidR="005E7407" w:rsidRDefault="002C4DD4" w:rsidP="00E411F3">
      <w:pPr>
        <w:pStyle w:val="ListParagraph"/>
      </w:pPr>
      <w:r>
        <w:t xml:space="preserve">The </w:t>
      </w:r>
      <w:r w:rsidR="00C32032">
        <w:t xml:space="preserve">early work on the conservation area appraisal </w:t>
      </w:r>
      <w:r w:rsidR="008D493F">
        <w:t>involved</w:t>
      </w:r>
      <w:r w:rsidR="00BB220C">
        <w:t xml:space="preserve"> meetings with key stakeholders</w:t>
      </w:r>
      <w:r w:rsidR="003C39E5">
        <w:t>, including both institutions based in the area as well as recognised residents groups,</w:t>
      </w:r>
      <w:r w:rsidR="00BB220C">
        <w:t xml:space="preserve"> and public meetings. </w:t>
      </w:r>
      <w:r w:rsidR="006F7668">
        <w:t xml:space="preserve"> This early work, mainly led by the Conservation Studio</w:t>
      </w:r>
      <w:r w:rsidR="0028099F">
        <w:t>,</w:t>
      </w:r>
      <w:r w:rsidR="006F7668">
        <w:t xml:space="preserve"> </w:t>
      </w:r>
      <w:r w:rsidR="0028099F">
        <w:t>fed into the work undertaken by Artemis Heritage Services who produced the consultation draft, and the final version.</w:t>
      </w:r>
    </w:p>
    <w:p w:rsidR="008F21B3" w:rsidRDefault="003C39E5" w:rsidP="008F21B3">
      <w:pPr>
        <w:pStyle w:val="ListParagraph"/>
      </w:pPr>
      <w:r>
        <w:lastRenderedPageBreak/>
        <w:t xml:space="preserve">The combined </w:t>
      </w:r>
      <w:r w:rsidR="00CA332E">
        <w:t>feedback</w:t>
      </w:r>
      <w:r w:rsidRPr="008F21B3">
        <w:t xml:space="preserve"> from both</w:t>
      </w:r>
      <w:r w:rsidR="00CA332E">
        <w:t xml:space="preserve"> the formal and informal</w:t>
      </w:r>
      <w:r w:rsidRPr="008F21B3">
        <w:t xml:space="preserve"> consultation</w:t>
      </w:r>
      <w:r w:rsidR="00CA332E">
        <w:t>s</w:t>
      </w:r>
      <w:r w:rsidRPr="008F21B3">
        <w:t xml:space="preserve"> gives a comprehensive </w:t>
      </w:r>
      <w:r w:rsidR="003E4F43">
        <w:t>summary of opinions and co</w:t>
      </w:r>
      <w:r w:rsidR="00FA639D">
        <w:t>mments</w:t>
      </w:r>
      <w:r w:rsidR="003E4F43">
        <w:t xml:space="preserve"> from a wide </w:t>
      </w:r>
      <w:r w:rsidR="00CA332E">
        <w:t>range</w:t>
      </w:r>
      <w:r w:rsidR="003E4F43">
        <w:t xml:space="preserve"> of interest groups.</w:t>
      </w:r>
      <w:r w:rsidR="00077537">
        <w:t xml:space="preserve"> </w:t>
      </w:r>
      <w:r w:rsidR="00FA639D">
        <w:t xml:space="preserve"> </w:t>
      </w:r>
      <w:r w:rsidR="00CA332E">
        <w:t xml:space="preserve">The </w:t>
      </w:r>
      <w:r w:rsidR="00077537">
        <w:t xml:space="preserve">feedback represents the views of the educational institutions in the area as well as residents and highlights </w:t>
      </w:r>
      <w:r w:rsidR="00CA332E">
        <w:t>some tension</w:t>
      </w:r>
      <w:r w:rsidR="00077537">
        <w:t xml:space="preserve"> between them in terms of their interest in the area. </w:t>
      </w:r>
      <w:r w:rsidR="00FA639D">
        <w:t xml:space="preserve"> </w:t>
      </w:r>
      <w:r w:rsidR="00077537">
        <w:t xml:space="preserve">It was crucial that </w:t>
      </w:r>
      <w:r w:rsidR="004F597E">
        <w:t xml:space="preserve">all </w:t>
      </w:r>
      <w:r w:rsidR="00077537">
        <w:t xml:space="preserve">these interests were well represented in the consultation in order to achieve a well-balanced range of </w:t>
      </w:r>
      <w:r w:rsidR="004F597E">
        <w:t>feedback on which action can be taken.</w:t>
      </w:r>
    </w:p>
    <w:p w:rsidR="003E4F43" w:rsidRDefault="003E4F43" w:rsidP="008F21B3">
      <w:pPr>
        <w:pStyle w:val="ListParagraph"/>
      </w:pPr>
      <w:r>
        <w:t xml:space="preserve">Although some </w:t>
      </w:r>
      <w:r w:rsidR="004F597E">
        <w:t xml:space="preserve">respondents </w:t>
      </w:r>
      <w:r>
        <w:t xml:space="preserve">expressed concerns about the draft appraisal in the most recent consultation period, these concerns represented an opportunity to </w:t>
      </w:r>
      <w:r w:rsidR="00B756E2">
        <w:t xml:space="preserve">address potential issues with the appraisal at </w:t>
      </w:r>
      <w:r w:rsidR="004F597E">
        <w:t>the</w:t>
      </w:r>
      <w:r w:rsidR="00B756E2">
        <w:t xml:space="preserve"> draft phase of the project.</w:t>
      </w:r>
      <w:r w:rsidR="00FA639D">
        <w:t xml:space="preserve"> </w:t>
      </w:r>
      <w:r w:rsidR="00B756E2">
        <w:t xml:space="preserve"> The concerns </w:t>
      </w:r>
      <w:r w:rsidR="00DB3EE7">
        <w:t>were</w:t>
      </w:r>
      <w:r w:rsidR="00B756E2">
        <w:t xml:space="preserve"> addressed by the consultants (Appendix 2), and recommendations </w:t>
      </w:r>
      <w:r w:rsidR="004F597E">
        <w:t>made for actions to address the</w:t>
      </w:r>
      <w:r w:rsidR="00CA332E">
        <w:t>m</w:t>
      </w:r>
      <w:r w:rsidR="004F597E">
        <w:t>.</w:t>
      </w:r>
      <w:r w:rsidR="00B756E2">
        <w:t xml:space="preserve"> </w:t>
      </w:r>
      <w:r w:rsidR="00FA639D">
        <w:t xml:space="preserve"> </w:t>
      </w:r>
      <w:r w:rsidR="00B756E2">
        <w:t xml:space="preserve">The issues </w:t>
      </w:r>
      <w:r w:rsidR="004F597E">
        <w:t>addressed range</w:t>
      </w:r>
      <w:r w:rsidR="00EF7F7D">
        <w:t xml:space="preserve"> </w:t>
      </w:r>
      <w:r w:rsidR="00DB3EE7">
        <w:t>from</w:t>
      </w:r>
      <w:r w:rsidR="00EF7F7D">
        <w:t xml:space="preserve"> presentational issues </w:t>
      </w:r>
      <w:r w:rsidR="00DB3EE7">
        <w:t>to</w:t>
      </w:r>
      <w:r w:rsidR="00EF7F7D">
        <w:t xml:space="preserve"> desires for clarification on </w:t>
      </w:r>
      <w:r w:rsidR="004F597E">
        <w:t>certain</w:t>
      </w:r>
      <w:r w:rsidR="00EF7F7D">
        <w:t xml:space="preserve"> issues, such as the distinction between back</w:t>
      </w:r>
      <w:r w:rsidR="00775217">
        <w:t>-</w:t>
      </w:r>
      <w:r w:rsidR="00EF7F7D">
        <w:t>land and back garden development</w:t>
      </w:r>
      <w:r w:rsidR="00775217">
        <w:t>,</w:t>
      </w:r>
      <w:r w:rsidR="004F597E">
        <w:t xml:space="preserve"> and have subsequently been addressed in the final draft.</w:t>
      </w:r>
    </w:p>
    <w:p w:rsidR="002C4DD4" w:rsidRDefault="002C4DD4" w:rsidP="008F21B3">
      <w:pPr>
        <w:pStyle w:val="ListParagraph"/>
      </w:pPr>
      <w:r>
        <w:t xml:space="preserve">Some of the concerns advanced by respondents cannot be addressed in the conservation area appraisal as these stem from a misunderstanding as to this document’s purpose. </w:t>
      </w:r>
      <w:r w:rsidR="0024336E">
        <w:t xml:space="preserve"> </w:t>
      </w:r>
      <w:r w:rsidR="00BD62B1">
        <w:t xml:space="preserve">A conservation area appraisal is, as the name suggests, purely an appraisal of the area. </w:t>
      </w:r>
      <w:r w:rsidR="0024336E">
        <w:t xml:space="preserve"> </w:t>
      </w:r>
      <w:r>
        <w:t xml:space="preserve">Some of the issues raised </w:t>
      </w:r>
      <w:r w:rsidR="00BD62B1">
        <w:t>c</w:t>
      </w:r>
      <w:r>
        <w:t xml:space="preserve">ould be addressed in a </w:t>
      </w:r>
      <w:r w:rsidR="00BD62B1">
        <w:t xml:space="preserve">future </w:t>
      </w:r>
      <w:r>
        <w:t>management plan</w:t>
      </w:r>
      <w:r w:rsidR="0024336E">
        <w:t xml:space="preserve"> if and when the C</w:t>
      </w:r>
      <w:r w:rsidR="00BD62B1">
        <w:t>ouncil had the resources to prioritise undertaking one</w:t>
      </w:r>
      <w:r>
        <w:t>.</w:t>
      </w:r>
    </w:p>
    <w:p w:rsidR="005E7407" w:rsidRPr="005E7407" w:rsidRDefault="005E7407" w:rsidP="00480F9A">
      <w:pPr>
        <w:pStyle w:val="ListParagraph"/>
        <w:rPr>
          <w:rStyle w:val="Firstpagetablebold"/>
          <w:b w:val="0"/>
        </w:rPr>
      </w:pPr>
      <w:r>
        <w:t xml:space="preserve">A summary of the public comments received, and the </w:t>
      </w:r>
      <w:r w:rsidR="001E75AC">
        <w:t>response to these comments is attached as Appendix 2.</w:t>
      </w:r>
    </w:p>
    <w:p w:rsidR="0040736F" w:rsidRPr="001356F1" w:rsidRDefault="002329CF" w:rsidP="004A6D2F">
      <w:pPr>
        <w:pStyle w:val="Heading1"/>
      </w:pPr>
      <w:r w:rsidRPr="001356F1">
        <w:t>Financial implications</w:t>
      </w:r>
    </w:p>
    <w:p w:rsidR="00C056D8" w:rsidRDefault="00E411F3" w:rsidP="008730E9">
      <w:pPr>
        <w:pStyle w:val="ListParagraph"/>
      </w:pPr>
      <w:r>
        <w:t>The appraisal provide</w:t>
      </w:r>
      <w:r w:rsidR="00BD62B1">
        <w:t>s an analysis</w:t>
      </w:r>
      <w:r>
        <w:t xml:space="preserve"> of the existing conservation area and justif</w:t>
      </w:r>
      <w:r w:rsidR="00BD62B1">
        <w:t>ies its</w:t>
      </w:r>
      <w:r>
        <w:t xml:space="preserve"> designation. </w:t>
      </w:r>
      <w:r w:rsidR="008730E9">
        <w:t xml:space="preserve"> The evidence contained within the conservation area appraisal will be used by planning and conservation officers in the course of their day to day work.  </w:t>
      </w:r>
      <w:r>
        <w:t xml:space="preserve">No financial implications are anticipated beyond the existing </w:t>
      </w:r>
      <w:r w:rsidR="0019476A">
        <w:t>considerations of conservation areas in handling planning applications</w:t>
      </w:r>
      <w:r w:rsidR="00E87F7A" w:rsidRPr="001356F1">
        <w:t>.</w:t>
      </w:r>
    </w:p>
    <w:p w:rsidR="00C056D8" w:rsidRPr="001356F1" w:rsidRDefault="00C056D8" w:rsidP="00C056D8">
      <w:pPr>
        <w:pStyle w:val="ListParagraph"/>
      </w:pPr>
      <w:r>
        <w:t xml:space="preserve">The design costs of </w:t>
      </w:r>
      <w:r w:rsidR="005C025F">
        <w:t xml:space="preserve">publishing the </w:t>
      </w:r>
      <w:r>
        <w:t xml:space="preserve">final version of the Conservation Area appraisal will be </w:t>
      </w:r>
      <w:r w:rsidR="008730E9">
        <w:t>met from existing budgets</w:t>
      </w:r>
      <w:r>
        <w:t>.</w:t>
      </w:r>
    </w:p>
    <w:p w:rsidR="0040736F" w:rsidRPr="001356F1" w:rsidRDefault="00DA614B" w:rsidP="004A6D2F">
      <w:pPr>
        <w:pStyle w:val="Heading1"/>
      </w:pPr>
      <w:r w:rsidRPr="001356F1">
        <w:t>Legal issues</w:t>
      </w:r>
    </w:p>
    <w:p w:rsidR="009A202E" w:rsidRDefault="00C056D8" w:rsidP="00C056D8">
      <w:pPr>
        <w:pStyle w:val="ListParagraph"/>
      </w:pPr>
      <w:r>
        <w:t>The appraisal will become part of the evidence base for planning policies and will represent a material consideration in the determination of planning applications.</w:t>
      </w:r>
    </w:p>
    <w:p w:rsidR="00D97364" w:rsidRDefault="00D97364" w:rsidP="00D97364">
      <w:pPr>
        <w:pStyle w:val="ListParagraph"/>
      </w:pPr>
      <w:r>
        <w:t>Section 71 of the Planning (Listed Buildings and Conservation Areas) Act 1990 places a general duty on local authorities from time to time to formulate and publish proposals for the preservation and enhancement of any parts of their areas which are Conservation Areas.</w:t>
      </w:r>
    </w:p>
    <w:p w:rsidR="00D97364" w:rsidRPr="00344364" w:rsidRDefault="00D97364" w:rsidP="00D97364">
      <w:pPr>
        <w:pStyle w:val="ListParagraph"/>
      </w:pPr>
      <w:r>
        <w:t xml:space="preserve"> The appraisal will become part of the evidence base for planning policies and will represent a material consideration in the determination of planning applications.</w:t>
      </w:r>
    </w:p>
    <w:p w:rsidR="00701D27" w:rsidRDefault="00701D27" w:rsidP="004A6D2F">
      <w:pPr>
        <w:pStyle w:val="Heading1"/>
      </w:pPr>
    </w:p>
    <w:p w:rsidR="00205EA5" w:rsidRDefault="00205EA5" w:rsidP="00205EA5"/>
    <w:p w:rsidR="00205EA5" w:rsidRPr="00205EA5" w:rsidRDefault="00205EA5" w:rsidP="00205EA5">
      <w:bookmarkStart w:id="0" w:name="_GoBack"/>
      <w:bookmarkEnd w:id="0"/>
    </w:p>
    <w:p w:rsidR="002329CF" w:rsidRPr="001356F1" w:rsidRDefault="002329CF" w:rsidP="004A6D2F">
      <w:pPr>
        <w:pStyle w:val="Heading1"/>
      </w:pPr>
      <w:r w:rsidRPr="001356F1">
        <w:lastRenderedPageBreak/>
        <w:t>Level of risk</w:t>
      </w:r>
    </w:p>
    <w:p w:rsidR="00557296" w:rsidRPr="00344364" w:rsidRDefault="00E411F3" w:rsidP="00557296">
      <w:pPr>
        <w:pStyle w:val="ListParagraph"/>
      </w:pPr>
      <w:r>
        <w:t xml:space="preserve">There is not considered to be any material risk involved in approving the draft appraisal for consultation.  </w:t>
      </w:r>
      <w:r w:rsidR="001F353A">
        <w:t>The risk register is attached at Appendix 4.</w:t>
      </w:r>
    </w:p>
    <w:p w:rsidR="002329CF" w:rsidRPr="001356F1" w:rsidRDefault="002329CF" w:rsidP="0050321C">
      <w:pPr>
        <w:pStyle w:val="Heading1"/>
      </w:pPr>
      <w:r w:rsidRPr="001356F1">
        <w:t xml:space="preserve">Equalities impact </w:t>
      </w:r>
    </w:p>
    <w:p w:rsidR="009A202E" w:rsidRPr="005D2E6B" w:rsidRDefault="009A202E" w:rsidP="009A202E">
      <w:pPr>
        <w:pStyle w:val="ListParagraph"/>
      </w:pPr>
      <w:r>
        <w:t xml:space="preserve">Consultation was carried out on a draft of the conservation area appraisal. The consultation met the requirements of the Statement of Community Involvement for Planning and </w:t>
      </w:r>
      <w:r w:rsidR="00854C71">
        <w:t>had</w:t>
      </w:r>
      <w:r>
        <w:t xml:space="preserve"> due regard to meeting the needs prescribed in section 149 of the Equality Act 2010.  </w:t>
      </w:r>
      <w:r w:rsidRPr="004F597E">
        <w:t>The consultation was structured in order to avoid differentiation between those who share a protected characteristic and those who do not.</w:t>
      </w:r>
      <w:r>
        <w:t xml:space="preserve"> </w:t>
      </w:r>
    </w:p>
    <w:p w:rsidR="00E87F7A" w:rsidRPr="001356F1" w:rsidRDefault="00E87F7A" w:rsidP="00E87F7A">
      <w:pPr>
        <w:pStyle w:val="Heading1"/>
      </w:pPr>
      <w:r w:rsidRPr="001356F1">
        <w:t>Conclusion</w:t>
      </w:r>
    </w:p>
    <w:p w:rsidR="00C056D8" w:rsidRDefault="009A202E" w:rsidP="00C056D8">
      <w:pPr>
        <w:pStyle w:val="ListParagraph"/>
      </w:pPr>
      <w:r>
        <w:t xml:space="preserve">A Local Planning Authority’s justification for designation, as reflected in the assessment of the area’s special interest, its character and appearance, is a factor which the Council and the Secretary of State will take into account when exercising functions under the planning legislation concerning buildings and land within the relevant conservation area. </w:t>
      </w:r>
    </w:p>
    <w:p w:rsidR="007E7D20" w:rsidRDefault="007E7D20" w:rsidP="007E7D20">
      <w:pPr>
        <w:pStyle w:val="ListParagraph"/>
      </w:pPr>
      <w:r>
        <w:t xml:space="preserve">A Conservation Area appraisal for </w:t>
      </w:r>
      <w:r w:rsidR="002C4DD4">
        <w:t>the North Oxford Victorian Suburb</w:t>
      </w:r>
      <w:r>
        <w:t xml:space="preserve"> has been prepared with the full involvement of the local community.</w:t>
      </w:r>
      <w:r w:rsidR="008E610F">
        <w:t xml:space="preserve"> </w:t>
      </w:r>
      <w:r>
        <w:t xml:space="preserve"> It should provide assistance to all participants in the development process by identifying aspects of heritage significance and providing an authoritative point of reference.</w:t>
      </w:r>
    </w:p>
    <w:p w:rsidR="00E206D6" w:rsidRDefault="009A202E" w:rsidP="00C056D8">
      <w:pPr>
        <w:pStyle w:val="ListParagraph"/>
      </w:pPr>
      <w:r>
        <w:t>The Committee is recommended to approve t</w:t>
      </w:r>
      <w:r w:rsidR="008E610F">
        <w:t>he conservation area appraisal.</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A202E" w:rsidP="00A46E98">
            <w:r>
              <w:t xml:space="preserve">Sarah Chesshyre </w:t>
            </w:r>
            <w:r w:rsidR="008E610F">
              <w:t>&amp; James Paterson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C025F" w:rsidP="00A46E98">
            <w:r>
              <w:t xml:space="preserve">Graduate </w:t>
            </w:r>
            <w:r w:rsidR="009A202E">
              <w:t>Apprentice Planner</w:t>
            </w:r>
            <w:r w:rsidR="008E610F">
              <w: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E610F" w:rsidP="00A46E98">
            <w:r>
              <w:t>Urban Design, Heritage &amp; Trees</w:t>
            </w:r>
            <w:r w:rsidR="009A202E">
              <w:t xml:space="preserve"> – Planning, Sustainable Development and Regulatory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A202E">
            <w:r w:rsidRPr="001356F1">
              <w:t xml:space="preserve">01865 </w:t>
            </w:r>
            <w:r w:rsidR="00E411F3">
              <w:t>252544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Default="00205EA5" w:rsidP="00A46E98">
            <w:pPr>
              <w:rPr>
                <w:rStyle w:val="Hyperlink"/>
              </w:rPr>
            </w:pPr>
            <w:hyperlink r:id="rId9" w:history="1">
              <w:r w:rsidR="009A202E" w:rsidRPr="00552F9A">
                <w:rPr>
                  <w:rStyle w:val="Hyperlink"/>
                </w:rPr>
                <w:t>schesshyre@oxford.gov.uk</w:t>
              </w:r>
            </w:hyperlink>
          </w:p>
          <w:p w:rsidR="008E610F" w:rsidRPr="001356F1" w:rsidRDefault="008E610F" w:rsidP="00A46E98">
            <w:pPr>
              <w:rPr>
                <w:rStyle w:val="Hyperlink"/>
                <w:color w:val="000000"/>
              </w:rPr>
            </w:pPr>
            <w:r>
              <w:rPr>
                <w:rStyle w:val="Hyperlink"/>
              </w:rPr>
              <w:t>jpaterson@oxford.gov.uk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85" w:rsidRDefault="00F84185" w:rsidP="004A6D2F">
      <w:r>
        <w:separator/>
      </w:r>
    </w:p>
  </w:endnote>
  <w:endnote w:type="continuationSeparator" w:id="0">
    <w:p w:rsidR="00F84185" w:rsidRDefault="00F8418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85" w:rsidRDefault="00F84185" w:rsidP="004A6D2F">
      <w:r>
        <w:separator/>
      </w:r>
    </w:p>
  </w:footnote>
  <w:footnote w:type="continuationSeparator" w:id="0">
    <w:p w:rsidR="00F84185" w:rsidRDefault="00F8418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9476A" w:rsidP="00D5547E">
    <w:pPr>
      <w:pStyle w:val="Header"/>
      <w:jc w:val="right"/>
    </w:pPr>
    <w:r>
      <w:rPr>
        <w:noProof/>
      </w:rPr>
      <w:drawing>
        <wp:inline distT="0" distB="0" distL="0" distR="0" wp14:anchorId="5F4176B6" wp14:editId="6D74209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5D12F322"/>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2E"/>
    <w:rsid w:val="000117D4"/>
    <w:rsid w:val="000314D7"/>
    <w:rsid w:val="00045F8B"/>
    <w:rsid w:val="00046D2B"/>
    <w:rsid w:val="00056263"/>
    <w:rsid w:val="00064D8A"/>
    <w:rsid w:val="00064F82"/>
    <w:rsid w:val="00066510"/>
    <w:rsid w:val="00077523"/>
    <w:rsid w:val="00077537"/>
    <w:rsid w:val="00090A36"/>
    <w:rsid w:val="000C089F"/>
    <w:rsid w:val="000C3928"/>
    <w:rsid w:val="000C5E8E"/>
    <w:rsid w:val="000F4751"/>
    <w:rsid w:val="0010524C"/>
    <w:rsid w:val="00111FB1"/>
    <w:rsid w:val="00113418"/>
    <w:rsid w:val="001356F1"/>
    <w:rsid w:val="00136994"/>
    <w:rsid w:val="0014128E"/>
    <w:rsid w:val="0014355D"/>
    <w:rsid w:val="00151888"/>
    <w:rsid w:val="00170A2D"/>
    <w:rsid w:val="001808BC"/>
    <w:rsid w:val="00180C7E"/>
    <w:rsid w:val="00182B81"/>
    <w:rsid w:val="0018619D"/>
    <w:rsid w:val="0019476A"/>
    <w:rsid w:val="001A011E"/>
    <w:rsid w:val="001A066A"/>
    <w:rsid w:val="001A13E6"/>
    <w:rsid w:val="001A5731"/>
    <w:rsid w:val="001B42C3"/>
    <w:rsid w:val="001C5D5E"/>
    <w:rsid w:val="001D678D"/>
    <w:rsid w:val="001E03F8"/>
    <w:rsid w:val="001E1678"/>
    <w:rsid w:val="001E3376"/>
    <w:rsid w:val="001E75AC"/>
    <w:rsid w:val="001F353A"/>
    <w:rsid w:val="00205EA5"/>
    <w:rsid w:val="002069B3"/>
    <w:rsid w:val="00215D60"/>
    <w:rsid w:val="002329CF"/>
    <w:rsid w:val="00232F5B"/>
    <w:rsid w:val="0024336E"/>
    <w:rsid w:val="00247C29"/>
    <w:rsid w:val="00260467"/>
    <w:rsid w:val="00263EA3"/>
    <w:rsid w:val="0028099F"/>
    <w:rsid w:val="00284F85"/>
    <w:rsid w:val="00286D08"/>
    <w:rsid w:val="00290915"/>
    <w:rsid w:val="002927F7"/>
    <w:rsid w:val="002A22E2"/>
    <w:rsid w:val="002C4DD4"/>
    <w:rsid w:val="002C64F7"/>
    <w:rsid w:val="002F41F2"/>
    <w:rsid w:val="00301BF3"/>
    <w:rsid w:val="0030208D"/>
    <w:rsid w:val="00323418"/>
    <w:rsid w:val="003357BF"/>
    <w:rsid w:val="00356FB0"/>
    <w:rsid w:val="00364FAD"/>
    <w:rsid w:val="0036738F"/>
    <w:rsid w:val="0036759C"/>
    <w:rsid w:val="00367AE5"/>
    <w:rsid w:val="00367D71"/>
    <w:rsid w:val="0038150A"/>
    <w:rsid w:val="003B6E75"/>
    <w:rsid w:val="003B7DA1"/>
    <w:rsid w:val="003C39E5"/>
    <w:rsid w:val="003C513E"/>
    <w:rsid w:val="003D0379"/>
    <w:rsid w:val="003D2574"/>
    <w:rsid w:val="003D4C59"/>
    <w:rsid w:val="003E4F43"/>
    <w:rsid w:val="003F4267"/>
    <w:rsid w:val="00404032"/>
    <w:rsid w:val="0040736F"/>
    <w:rsid w:val="00412C1F"/>
    <w:rsid w:val="00421CB2"/>
    <w:rsid w:val="004268B9"/>
    <w:rsid w:val="00433B96"/>
    <w:rsid w:val="004440F1"/>
    <w:rsid w:val="004456DD"/>
    <w:rsid w:val="00446CDF"/>
    <w:rsid w:val="004521B7"/>
    <w:rsid w:val="00454C20"/>
    <w:rsid w:val="00462AB5"/>
    <w:rsid w:val="00465EAF"/>
    <w:rsid w:val="004738C5"/>
    <w:rsid w:val="00480F9A"/>
    <w:rsid w:val="00491046"/>
    <w:rsid w:val="004A2AC7"/>
    <w:rsid w:val="004A6D2F"/>
    <w:rsid w:val="004C2887"/>
    <w:rsid w:val="004D2626"/>
    <w:rsid w:val="004D6E26"/>
    <w:rsid w:val="004D77D3"/>
    <w:rsid w:val="004E2959"/>
    <w:rsid w:val="004F20EF"/>
    <w:rsid w:val="004F597E"/>
    <w:rsid w:val="0050321C"/>
    <w:rsid w:val="005232FD"/>
    <w:rsid w:val="0054712D"/>
    <w:rsid w:val="00547EF6"/>
    <w:rsid w:val="005570B5"/>
    <w:rsid w:val="00557296"/>
    <w:rsid w:val="00567E18"/>
    <w:rsid w:val="00575F5F"/>
    <w:rsid w:val="00581805"/>
    <w:rsid w:val="00585F76"/>
    <w:rsid w:val="005A34E4"/>
    <w:rsid w:val="005B17F2"/>
    <w:rsid w:val="005B7FB0"/>
    <w:rsid w:val="005C025F"/>
    <w:rsid w:val="005C35A5"/>
    <w:rsid w:val="005C577C"/>
    <w:rsid w:val="005D0621"/>
    <w:rsid w:val="005D1E27"/>
    <w:rsid w:val="005D2A3E"/>
    <w:rsid w:val="005E022E"/>
    <w:rsid w:val="005E5215"/>
    <w:rsid w:val="005E7407"/>
    <w:rsid w:val="005F7F7E"/>
    <w:rsid w:val="00614693"/>
    <w:rsid w:val="00623C2F"/>
    <w:rsid w:val="00633578"/>
    <w:rsid w:val="00637068"/>
    <w:rsid w:val="00646005"/>
    <w:rsid w:val="00650811"/>
    <w:rsid w:val="00661D3E"/>
    <w:rsid w:val="006673F5"/>
    <w:rsid w:val="00692627"/>
    <w:rsid w:val="006969E7"/>
    <w:rsid w:val="006A3643"/>
    <w:rsid w:val="006C2A29"/>
    <w:rsid w:val="006C64CF"/>
    <w:rsid w:val="006D09B1"/>
    <w:rsid w:val="006D17B1"/>
    <w:rsid w:val="006D4752"/>
    <w:rsid w:val="006D708A"/>
    <w:rsid w:val="006E14C1"/>
    <w:rsid w:val="006F0292"/>
    <w:rsid w:val="006F27FA"/>
    <w:rsid w:val="006F416B"/>
    <w:rsid w:val="006F519B"/>
    <w:rsid w:val="006F7668"/>
    <w:rsid w:val="00701D27"/>
    <w:rsid w:val="00713675"/>
    <w:rsid w:val="00715823"/>
    <w:rsid w:val="00737B93"/>
    <w:rsid w:val="00745BF0"/>
    <w:rsid w:val="007615FE"/>
    <w:rsid w:val="0076655C"/>
    <w:rsid w:val="007742DC"/>
    <w:rsid w:val="00775217"/>
    <w:rsid w:val="00791437"/>
    <w:rsid w:val="007B0C2C"/>
    <w:rsid w:val="007B278E"/>
    <w:rsid w:val="007C59C4"/>
    <w:rsid w:val="007C5C23"/>
    <w:rsid w:val="007E2A26"/>
    <w:rsid w:val="007E7D20"/>
    <w:rsid w:val="007F2348"/>
    <w:rsid w:val="00803F07"/>
    <w:rsid w:val="0080749A"/>
    <w:rsid w:val="00821ECE"/>
    <w:rsid w:val="00821FB8"/>
    <w:rsid w:val="00822ACD"/>
    <w:rsid w:val="00854C71"/>
    <w:rsid w:val="00855C66"/>
    <w:rsid w:val="00871EE4"/>
    <w:rsid w:val="008730E9"/>
    <w:rsid w:val="008B293F"/>
    <w:rsid w:val="008B7371"/>
    <w:rsid w:val="008D3DDB"/>
    <w:rsid w:val="008D493F"/>
    <w:rsid w:val="008E1471"/>
    <w:rsid w:val="008E610F"/>
    <w:rsid w:val="008F21B3"/>
    <w:rsid w:val="008F573F"/>
    <w:rsid w:val="009034EC"/>
    <w:rsid w:val="0093067A"/>
    <w:rsid w:val="00941C60"/>
    <w:rsid w:val="00966D42"/>
    <w:rsid w:val="00971689"/>
    <w:rsid w:val="00973E90"/>
    <w:rsid w:val="00975B07"/>
    <w:rsid w:val="00980B4A"/>
    <w:rsid w:val="009A202E"/>
    <w:rsid w:val="009D0C6E"/>
    <w:rsid w:val="009E3D0A"/>
    <w:rsid w:val="009E51FC"/>
    <w:rsid w:val="009F1D28"/>
    <w:rsid w:val="009F7618"/>
    <w:rsid w:val="00A0167F"/>
    <w:rsid w:val="00A04D23"/>
    <w:rsid w:val="00A06766"/>
    <w:rsid w:val="00A13765"/>
    <w:rsid w:val="00A21B12"/>
    <w:rsid w:val="00A23F80"/>
    <w:rsid w:val="00A46E98"/>
    <w:rsid w:val="00A6352B"/>
    <w:rsid w:val="00A701B5"/>
    <w:rsid w:val="00A714BB"/>
    <w:rsid w:val="00A92D8F"/>
    <w:rsid w:val="00AB2988"/>
    <w:rsid w:val="00AB7999"/>
    <w:rsid w:val="00AD3292"/>
    <w:rsid w:val="00AE2C8C"/>
    <w:rsid w:val="00AE7AF0"/>
    <w:rsid w:val="00B0072D"/>
    <w:rsid w:val="00B500CA"/>
    <w:rsid w:val="00B756E2"/>
    <w:rsid w:val="00B86314"/>
    <w:rsid w:val="00B96117"/>
    <w:rsid w:val="00BA1C2E"/>
    <w:rsid w:val="00BB220C"/>
    <w:rsid w:val="00BC200B"/>
    <w:rsid w:val="00BC4756"/>
    <w:rsid w:val="00BC69A4"/>
    <w:rsid w:val="00BD4CE3"/>
    <w:rsid w:val="00BD62B1"/>
    <w:rsid w:val="00BE0680"/>
    <w:rsid w:val="00BE305F"/>
    <w:rsid w:val="00BE7BA3"/>
    <w:rsid w:val="00BF5682"/>
    <w:rsid w:val="00BF7B09"/>
    <w:rsid w:val="00C056D8"/>
    <w:rsid w:val="00C20A95"/>
    <w:rsid w:val="00C2692F"/>
    <w:rsid w:val="00C32032"/>
    <w:rsid w:val="00C3207C"/>
    <w:rsid w:val="00C400E1"/>
    <w:rsid w:val="00C41187"/>
    <w:rsid w:val="00C51B4E"/>
    <w:rsid w:val="00C63C31"/>
    <w:rsid w:val="00C66F62"/>
    <w:rsid w:val="00C707A8"/>
    <w:rsid w:val="00C757A0"/>
    <w:rsid w:val="00C760DE"/>
    <w:rsid w:val="00C82630"/>
    <w:rsid w:val="00C85B4E"/>
    <w:rsid w:val="00C907F7"/>
    <w:rsid w:val="00CA2103"/>
    <w:rsid w:val="00CA332E"/>
    <w:rsid w:val="00CB6B99"/>
    <w:rsid w:val="00CC4B57"/>
    <w:rsid w:val="00CC4E22"/>
    <w:rsid w:val="00CE4C87"/>
    <w:rsid w:val="00CE544A"/>
    <w:rsid w:val="00D056AB"/>
    <w:rsid w:val="00D11E1C"/>
    <w:rsid w:val="00D14390"/>
    <w:rsid w:val="00D160B0"/>
    <w:rsid w:val="00D17F94"/>
    <w:rsid w:val="00D223FC"/>
    <w:rsid w:val="00D26D1E"/>
    <w:rsid w:val="00D474CF"/>
    <w:rsid w:val="00D5547E"/>
    <w:rsid w:val="00D869A1"/>
    <w:rsid w:val="00D97364"/>
    <w:rsid w:val="00DA413F"/>
    <w:rsid w:val="00DA4584"/>
    <w:rsid w:val="00DA614B"/>
    <w:rsid w:val="00DB3EE7"/>
    <w:rsid w:val="00DC3060"/>
    <w:rsid w:val="00DE0FB2"/>
    <w:rsid w:val="00DF093E"/>
    <w:rsid w:val="00E0023B"/>
    <w:rsid w:val="00E01F42"/>
    <w:rsid w:val="00E14B07"/>
    <w:rsid w:val="00E206D6"/>
    <w:rsid w:val="00E24059"/>
    <w:rsid w:val="00E3366E"/>
    <w:rsid w:val="00E411F3"/>
    <w:rsid w:val="00E52086"/>
    <w:rsid w:val="00E543A6"/>
    <w:rsid w:val="00E60479"/>
    <w:rsid w:val="00E61D73"/>
    <w:rsid w:val="00E7162F"/>
    <w:rsid w:val="00E73684"/>
    <w:rsid w:val="00E818D6"/>
    <w:rsid w:val="00E87F7A"/>
    <w:rsid w:val="00E96BD7"/>
    <w:rsid w:val="00EA0DB1"/>
    <w:rsid w:val="00EA0EE9"/>
    <w:rsid w:val="00EC3084"/>
    <w:rsid w:val="00ED52CA"/>
    <w:rsid w:val="00ED5860"/>
    <w:rsid w:val="00EE35C9"/>
    <w:rsid w:val="00EF0F0F"/>
    <w:rsid w:val="00EF7C94"/>
    <w:rsid w:val="00EF7F7D"/>
    <w:rsid w:val="00F0463A"/>
    <w:rsid w:val="00F05ECA"/>
    <w:rsid w:val="00F12C40"/>
    <w:rsid w:val="00F3566E"/>
    <w:rsid w:val="00F375FB"/>
    <w:rsid w:val="00F41AC1"/>
    <w:rsid w:val="00F4367A"/>
    <w:rsid w:val="00F445B1"/>
    <w:rsid w:val="00F45CD4"/>
    <w:rsid w:val="00F66DCA"/>
    <w:rsid w:val="00F74F53"/>
    <w:rsid w:val="00F7606D"/>
    <w:rsid w:val="00F81670"/>
    <w:rsid w:val="00F81EAE"/>
    <w:rsid w:val="00F82024"/>
    <w:rsid w:val="00F84185"/>
    <w:rsid w:val="00F95BC9"/>
    <w:rsid w:val="00FA624C"/>
    <w:rsid w:val="00FA639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689979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esshyr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008C-499D-49AC-8BBE-B7697DF4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B04D992</Template>
  <TotalTime>10</TotalTime>
  <Pages>4</Pages>
  <Words>1314</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schesshyre</dc:creator>
  <cp:lastModifiedBy>JMitchell</cp:lastModifiedBy>
  <cp:revision>7</cp:revision>
  <cp:lastPrinted>2017-08-22T13:20:00Z</cp:lastPrinted>
  <dcterms:created xsi:type="dcterms:W3CDTF">2017-09-11T13:17:00Z</dcterms:created>
  <dcterms:modified xsi:type="dcterms:W3CDTF">2017-10-06T13:01:00Z</dcterms:modified>
</cp:coreProperties>
</file>